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3AB1" w14:textId="77777777" w:rsidR="00F61151" w:rsidRDefault="00D63937" w:rsidP="00E00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INFORMAȚII PRIVIND </w:t>
      </w:r>
      <w:r w:rsidR="00F6115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ADMITEREA ÎN </w:t>
      </w:r>
    </w:p>
    <w:p w14:paraId="174B0802" w14:textId="0860D7BE" w:rsidR="00E0032C" w:rsidRDefault="00D63937" w:rsidP="00E00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CORPUL EXPERȚILOR ELECTORALI</w:t>
      </w:r>
    </w:p>
    <w:p w14:paraId="02ECFD62" w14:textId="77777777" w:rsidR="00E0032C" w:rsidRPr="00E0032C" w:rsidRDefault="00E0032C" w:rsidP="00E00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B283F40" w14:textId="5CE21EF1" w:rsidR="00A81B4F" w:rsidRPr="00A81B4F" w:rsidRDefault="00A81B4F" w:rsidP="00A81B4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1B4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desfășurării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bune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alegerilor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Parlamentul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European, din 26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A81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doresc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admise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corpul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experţilor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electorali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desemnate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președinte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Biroului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electoral al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secției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votare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respectiv</w:t>
      </w:r>
      <w:proofErr w:type="spellEnd"/>
      <w:r w:rsidRPr="00A81B4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A81B4F">
        <w:rPr>
          <w:rFonts w:ascii="Times New Roman" w:hAnsi="Times New Roman" w:cs="Times New Roman"/>
          <w:b/>
          <w:sz w:val="28"/>
          <w:szCs w:val="28"/>
        </w:rPr>
        <w:t>locțiitor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președintelui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biroului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electoral al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secției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votare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, pot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format electronic,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poștă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direct la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registratura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B4F">
        <w:rPr>
          <w:rFonts w:ascii="Times New Roman" w:hAnsi="Times New Roman" w:cs="Times New Roman"/>
          <w:sz w:val="28"/>
          <w:szCs w:val="28"/>
        </w:rPr>
        <w:t>Sectorului</w:t>
      </w:r>
      <w:proofErr w:type="spellEnd"/>
      <w:r w:rsidRPr="00A81B4F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Electorală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E24DA9" w14:textId="77777777" w:rsidR="00D541F3" w:rsidRDefault="00D541F3" w:rsidP="00D541F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Primăria</w:t>
      </w:r>
      <w:proofErr w:type="spellEnd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Sectorului</w:t>
      </w:r>
      <w:proofErr w:type="spellEnd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: </w:t>
      </w:r>
    </w:p>
    <w:p w14:paraId="4ACA3BBD" w14:textId="77777777" w:rsidR="00D541F3" w:rsidRDefault="00D541F3" w:rsidP="00D541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Calea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Dudești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nr. 191, sector 3, cod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poștal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031084</w:t>
      </w:r>
    </w:p>
    <w:p w14:paraId="4B629880" w14:textId="77777777" w:rsidR="00D541F3" w:rsidRDefault="00D541F3" w:rsidP="00D541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5" w:history="1">
        <w:r w:rsidRPr="0030021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electoral@primarie3.ro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14:paraId="20815459" w14:textId="77777777" w:rsidR="00D541F3" w:rsidRPr="00D63937" w:rsidRDefault="00D541F3" w:rsidP="00D541F3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spellStart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Instituția</w:t>
      </w:r>
      <w:proofErr w:type="spellEnd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Prefectului</w:t>
      </w:r>
      <w:proofErr w:type="spellEnd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Municipiului</w:t>
      </w:r>
      <w:proofErr w:type="spellEnd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București</w:t>
      </w:r>
      <w:proofErr w:type="spellEnd"/>
      <w:r w:rsidRPr="00D6393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</w:p>
    <w:p w14:paraId="1C8D98C0" w14:textId="77777777" w:rsidR="00D541F3" w:rsidRPr="00D63937" w:rsidRDefault="00D541F3" w:rsidP="00D541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Piața</w:t>
      </w:r>
      <w:proofErr w:type="spellEnd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Presei</w:t>
      </w:r>
      <w:proofErr w:type="spellEnd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libere</w:t>
      </w:r>
      <w:proofErr w:type="spellEnd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nr. 1, </w:t>
      </w:r>
      <w:proofErr w:type="spellStart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corpul</w:t>
      </w:r>
      <w:proofErr w:type="spellEnd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B, </w:t>
      </w:r>
      <w:proofErr w:type="spellStart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sectorul</w:t>
      </w:r>
      <w:proofErr w:type="spellEnd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1, cod </w:t>
      </w:r>
      <w:proofErr w:type="spellStart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poştal</w:t>
      </w:r>
      <w:proofErr w:type="spellEnd"/>
      <w:r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013701</w:t>
      </w:r>
    </w:p>
    <w:p w14:paraId="7F29BCFC" w14:textId="77777777" w:rsidR="00D541F3" w:rsidRPr="007C236E" w:rsidRDefault="00D541F3" w:rsidP="00D541F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Autoritatea</w:t>
      </w:r>
      <w:proofErr w:type="spellEnd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Electorală</w:t>
      </w:r>
      <w:proofErr w:type="spellEnd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Permanentă</w:t>
      </w:r>
      <w:proofErr w:type="spellEnd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– </w:t>
      </w:r>
      <w:proofErr w:type="spellStart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Filiala</w:t>
      </w:r>
      <w:proofErr w:type="spellEnd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București-Ilfov</w:t>
      </w:r>
      <w:proofErr w:type="spellEnd"/>
      <w:r w:rsidRPr="00E0032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7F441B6F" w14:textId="77777777" w:rsidR="00D541F3" w:rsidRDefault="00D541F3" w:rsidP="00D541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C2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Str. </w:t>
      </w:r>
      <w:proofErr w:type="spellStart"/>
      <w:r w:rsidRPr="007C236E">
        <w:rPr>
          <w:rFonts w:ascii="Times New Roman" w:eastAsia="Times New Roman" w:hAnsi="Times New Roman" w:cs="Times New Roman"/>
          <w:color w:val="222222"/>
          <w:sz w:val="28"/>
          <w:szCs w:val="28"/>
        </w:rPr>
        <w:t>Transilvaniei</w:t>
      </w:r>
      <w:proofErr w:type="spellEnd"/>
      <w:r w:rsidRPr="007C2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nr. 2, et. 1, cam. 9, sector 1. </w:t>
      </w:r>
    </w:p>
    <w:p w14:paraId="72DD7652" w14:textId="77777777" w:rsidR="00D541F3" w:rsidRPr="00A81B4F" w:rsidRDefault="00D541F3" w:rsidP="00D541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6" w:history="1">
        <w:r w:rsidRPr="00E0032C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expert.bucuresti@roaep.ro</w:t>
        </w:r>
      </w:hyperlink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 xml:space="preserve"> </w:t>
      </w:r>
    </w:p>
    <w:p w14:paraId="35111184" w14:textId="77777777" w:rsidR="00D541F3" w:rsidRDefault="00D541F3" w:rsidP="00D541F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4C9BDB87" w14:textId="77777777" w:rsidR="0041654F" w:rsidRDefault="00D541F3" w:rsidP="0041654F">
      <w:pPr>
        <w:shd w:val="clear" w:color="auto" w:fill="FFFFFF"/>
        <w:spacing w:after="36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Fiecare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cerere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trebuie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fie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însoțită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o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copie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</w:t>
      </w:r>
      <w:proofErr w:type="gram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actului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identitate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copie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actului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studii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41654F" w:rsidRPr="004165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9B3D1" w14:textId="54B205F8" w:rsidR="00D541F3" w:rsidRPr="00E0032C" w:rsidRDefault="0041654F" w:rsidP="0041654F">
      <w:pPr>
        <w:shd w:val="clear" w:color="auto" w:fill="FFFFFF"/>
        <w:spacing w:after="360" w:line="240" w:lineRule="auto"/>
        <w:ind w:firstLine="360"/>
        <w:jc w:val="both"/>
        <w:textAlignment w:val="baseline"/>
      </w:pPr>
      <w:proofErr w:type="spellStart"/>
      <w:r w:rsidRPr="0041654F">
        <w:rPr>
          <w:rFonts w:ascii="Times New Roman" w:hAnsi="Times New Roman" w:cs="Times New Roman"/>
          <w:sz w:val="28"/>
          <w:szCs w:val="28"/>
        </w:rPr>
        <w:t>Modelul</w:t>
      </w:r>
      <w:proofErr w:type="spellEnd"/>
      <w:r w:rsidRPr="00416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54F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>
        <w:t xml:space="preserve"> </w:t>
      </w:r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pot fi </w:t>
      </w:r>
      <w:proofErr w:type="spellStart"/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>găsite</w:t>
      </w:r>
      <w:proofErr w:type="spellEnd"/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 </w:t>
      </w:r>
      <w:proofErr w:type="spellStart"/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>următoarele</w:t>
      </w:r>
      <w:proofErr w:type="spellEnd"/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>linkuri</w:t>
      </w:r>
      <w:proofErr w:type="spellEnd"/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128AC3A0" w14:textId="0160AAA6" w:rsidR="00E0032C" w:rsidRPr="0041654F" w:rsidRDefault="0041654F" w:rsidP="0041654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7" w:history="1">
        <w:r w:rsidRPr="0030021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http://www.roaep.ro/instruire/wp-content/uploads/2015/11/cerere-admitere-Aviz-favorabil-CEE.pdf</w:t>
        </w:r>
      </w:hyperlink>
      <w:r w:rsidRPr="0041654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14:paraId="6987479B" w14:textId="05D2E55F" w:rsidR="0041654F" w:rsidRDefault="0041654F" w:rsidP="00D541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6B61BBF" w14:textId="7DADA63E" w:rsidR="0041654F" w:rsidRDefault="0041654F" w:rsidP="0041654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8" w:history="1">
        <w:r w:rsidRPr="0030021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http://www.roaep.ro/instruire/wp-content/uploads/2015/11/cerere-admitere-examen-CEE.pdf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14:paraId="09CF8C97" w14:textId="77777777" w:rsidR="0041654F" w:rsidRPr="0041654F" w:rsidRDefault="0041654F" w:rsidP="004165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7F71374D" w14:textId="1CBCDF7E" w:rsidR="00E0032C" w:rsidRPr="00E0032C" w:rsidRDefault="00E0032C" w:rsidP="00E00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Ce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reprezintă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?</w:t>
      </w:r>
    </w:p>
    <w:p w14:paraId="35639489" w14:textId="77777777" w:rsidR="00E0032C" w:rsidRPr="00E0032C" w:rsidRDefault="00E0032C" w:rsidP="00E0032C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reprezintă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evidență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permanentă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persoanelor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din care sunt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desemnați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prin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tragere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sorți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președinții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birourilor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ale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secțiilor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votare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locțiitorii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acestora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8462682" w14:textId="77777777" w:rsidR="00E0032C" w:rsidRPr="00E0032C" w:rsidRDefault="00E0032C" w:rsidP="00E003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Persoanele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înscrise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participă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automat</w:t>
      </w: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la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tragerile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sorți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efectuate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Autoritatea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Permanentă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la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toate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alegerile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fără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îndeplinirea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altor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formalități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64021CB" w14:textId="66E0884B" w:rsidR="00E0032C" w:rsidRDefault="00E0032C" w:rsidP="00E003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Activitatea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desfășurată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persoanele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desemnate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este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remunerată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ED9824E" w14:textId="77777777" w:rsidR="00D63937" w:rsidRPr="00E0032C" w:rsidRDefault="00D63937" w:rsidP="00E003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255D370C" w14:textId="0A0E44BB" w:rsidR="00E0032C" w:rsidRPr="00E0032C" w:rsidRDefault="00E0032C" w:rsidP="00E003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perioada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funcţionării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birourilor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ale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secțiilor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votare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constitui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pentru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alegerile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europarlamentare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din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anul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2019,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preşedinţii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birourilor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ale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secţiilor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votare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locţiitorii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acestora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consideră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detaşaţi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primesc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pentru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fiecare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zi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activitate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o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indemnizaţie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de 190 lei (190 lei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x</w:t>
      </w: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5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zile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= 950 lei).</w:t>
      </w:r>
    </w:p>
    <w:p w14:paraId="04159A16" w14:textId="77777777" w:rsidR="00E0032C" w:rsidRPr="00E0032C" w:rsidRDefault="00E0032C" w:rsidP="00E0032C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această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perioadă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autorităţile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instituţiile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publice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 care sunt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angajate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persoanele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desemnate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președinți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locțiitori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asigură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acestora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plata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drepturilor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salariale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BC4DF7C" w14:textId="77777777" w:rsidR="00E0032C" w:rsidRPr="00E0032C" w:rsidRDefault="00E0032C" w:rsidP="00E0032C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Primirea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indemnizaţiei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mai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sus (190 lei pe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zi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nu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afectează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dreptul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primi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alte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diurne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indemnizaţii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pensii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alte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drepturi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băneşti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cuvenite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baza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unor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legi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speciale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ABE794D" w14:textId="77777777" w:rsidR="00E0032C" w:rsidRPr="00E0032C" w:rsidRDefault="00E0032C" w:rsidP="00E0032C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Pentru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indemnizaţiile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acordate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virează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numai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impozitul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venit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8407655" w14:textId="77777777" w:rsidR="00E0032C" w:rsidRPr="00E0032C" w:rsidRDefault="00E0032C" w:rsidP="00E0032C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asemenea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aceștia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au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dreptul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ziua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votării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 o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indemnizaţie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protocol de 10 lei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pentru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apă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cafea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3C088248" w14:textId="77777777" w:rsidR="00E0032C" w:rsidRPr="00E0032C" w:rsidRDefault="00E0032C" w:rsidP="00E00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Cine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poate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fi expert electoral?</w:t>
      </w:r>
    </w:p>
    <w:p w14:paraId="2D7AD11C" w14:textId="77777777" w:rsidR="00E0032C" w:rsidRPr="00E0032C" w:rsidRDefault="00E0032C" w:rsidP="00E0032C">
      <w:pPr>
        <w:shd w:val="clear" w:color="auto" w:fill="FFFFFF"/>
        <w:spacing w:after="36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Poate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intra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prin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decizie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</w:t>
      </w:r>
      <w:proofErr w:type="gram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Autorității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Permanente,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persoana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care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îndeplinește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următoarele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condiții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5BB4E78D" w14:textId="0D6BFA60" w:rsidR="00E0032C" w:rsidRDefault="00E0032C" w:rsidP="00E00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au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cetăţenia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română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4623F7E5" w14:textId="493E8B4E" w:rsidR="00E0032C" w:rsidRPr="00E0032C" w:rsidRDefault="00E0032C" w:rsidP="00E00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cunosc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limba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română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scris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vorbit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6CE9E6B4" w14:textId="7DA8771A" w:rsidR="00E0032C" w:rsidRPr="00E0032C" w:rsidRDefault="00E0032C" w:rsidP="00E00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au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drept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6444716A" w14:textId="60940BDE" w:rsidR="00E0032C" w:rsidRPr="00E0032C" w:rsidRDefault="00E0032C" w:rsidP="00E00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au o </w:t>
      </w:r>
      <w:proofErr w:type="gram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stare</w:t>
      </w:r>
      <w:proofErr w:type="gram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sănătate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corespunzătoare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îndeplinirii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funcţiei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30BFCA3F" w14:textId="665EC459" w:rsidR="00E0032C" w:rsidRDefault="00E0032C" w:rsidP="00E00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nu fac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parte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dintr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-un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partid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politic;</w:t>
      </w:r>
    </w:p>
    <w:p w14:paraId="48BEAB74" w14:textId="6BE30EDE" w:rsidR="00E0032C" w:rsidRDefault="00E0032C" w:rsidP="00E00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au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absolvit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studii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universitare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licenţă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domeniul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ştiinţelor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juridice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alte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domenii</w:t>
      </w:r>
      <w:proofErr w:type="spellEnd"/>
      <w:proofErr w:type="gram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55C44F71" w14:textId="62D55B80" w:rsidR="00E0032C" w:rsidRDefault="00E0032C" w:rsidP="00E00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nu sunt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urmărite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penal,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trimise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judecată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penală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condamnate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penal.</w:t>
      </w:r>
    </w:p>
    <w:p w14:paraId="2E241851" w14:textId="77777777" w:rsidR="00E0032C" w:rsidRPr="00E0032C" w:rsidRDefault="00E0032C" w:rsidP="00E0032C">
      <w:p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BE27BC2" w14:textId="404E41BB" w:rsidR="00E0032C" w:rsidRPr="00A81B4F" w:rsidRDefault="00E0032C" w:rsidP="00D639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Cum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puteți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face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parte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din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electorali</w:t>
      </w:r>
      <w:proofErr w:type="spellEnd"/>
    </w:p>
    <w:p w14:paraId="161497CA" w14:textId="39C59499" w:rsidR="00E0032C" w:rsidRPr="00E0032C" w:rsidRDefault="00E0032C" w:rsidP="00E0032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Admiterea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face:</w:t>
      </w:r>
    </w:p>
    <w:p w14:paraId="2F0FDB47" w14:textId="77777777" w:rsidR="00E0032C" w:rsidRPr="00E0032C" w:rsidRDefault="00E0032C" w:rsidP="00E0032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cazul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persoanei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care 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mai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exercitat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funcția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președinte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al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biroului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electoral al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secției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votare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locțiitor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al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acestuia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înainte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anul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2015 – </w:t>
      </w: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pe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baza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avizului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favorabil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acordat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Autoritatea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Electorală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Permanentă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pentru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activitatea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anterioară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ca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președinte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sau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locțiitor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;</w:t>
      </w:r>
    </w:p>
    <w:p w14:paraId="0E5C03CB" w14:textId="77777777" w:rsidR="00E0032C" w:rsidRPr="00E0032C" w:rsidRDefault="00E0032C" w:rsidP="00E0032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cazul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persoanei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care nu 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mai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exercitat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funcția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președinte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al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biroului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electoral al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secției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votare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locțiitor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al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acestuia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 </w:t>
      </w: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pe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bază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examen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5BA4D98" w14:textId="77777777" w:rsid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CA59811" w14:textId="14949EB1" w:rsidR="00D63937" w:rsidRDefault="00E0032C" w:rsidP="00E0032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Persoanele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interesate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pot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depune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cereri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acest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sens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format electronic,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prin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poștă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="00D63937" w:rsidRPr="00D639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direct la</w:t>
      </w:r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>primari</w:t>
      </w:r>
      <w:proofErr w:type="spellEnd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>prefecți</w:t>
      </w:r>
      <w:proofErr w:type="spellEnd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 </w:t>
      </w:r>
      <w:proofErr w:type="spellStart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>Autoritatea</w:t>
      </w:r>
      <w:proofErr w:type="spellEnd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Electorală</w:t>
      </w:r>
      <w:proofErr w:type="spellEnd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>Permanentă</w:t>
      </w:r>
      <w:proofErr w:type="spellEnd"/>
      <w:r w:rsidR="00D541F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3F7894ED" w14:textId="12419B1E" w:rsidR="00A81B4F" w:rsidRDefault="00E0032C" w:rsidP="00A81B4F">
      <w:pPr>
        <w:shd w:val="clear" w:color="auto" w:fill="FFFFFF"/>
        <w:spacing w:after="36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Hlk2244232"/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Fiecare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cerere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trebuie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fie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însoțită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o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copie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</w:t>
      </w:r>
      <w:proofErr w:type="gram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actului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identitate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copie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actului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studii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79E895E7" w14:textId="275CF10D" w:rsidR="0041654F" w:rsidRDefault="0041654F" w:rsidP="00A81B4F">
      <w:pPr>
        <w:shd w:val="clear" w:color="auto" w:fill="FFFFFF"/>
        <w:spacing w:after="36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33984123" w14:textId="77777777" w:rsidR="0041654F" w:rsidRPr="00E0032C" w:rsidRDefault="0041654F" w:rsidP="00A81B4F">
      <w:pPr>
        <w:shd w:val="clear" w:color="auto" w:fill="FFFFFF"/>
        <w:spacing w:after="36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1" w:name="_GoBack"/>
      <w:bookmarkEnd w:id="1"/>
    </w:p>
    <w:bookmarkEnd w:id="0"/>
    <w:p w14:paraId="043112EB" w14:textId="77777777" w:rsidR="00E0032C" w:rsidRPr="00E0032C" w:rsidRDefault="00E0032C" w:rsidP="00E00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lastRenderedPageBreak/>
        <w:t>În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ce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constă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examenul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admitere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?</w:t>
      </w:r>
    </w:p>
    <w:p w14:paraId="3848F22A" w14:textId="77777777" w:rsidR="00E0032C" w:rsidRDefault="00E0032C" w:rsidP="00E003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BE377D" w14:textId="77777777" w:rsidR="00E0032C" w:rsidRDefault="00E0032C" w:rsidP="00E0032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32C">
        <w:rPr>
          <w:rFonts w:ascii="Times New Roman" w:hAnsi="Times New Roman" w:cs="Times New Roman"/>
          <w:sz w:val="28"/>
          <w:szCs w:val="28"/>
        </w:rPr>
        <w:t>Examenul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admitere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Corpul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experților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electorali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constă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soluționarea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test-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grilă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competențelor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format din 15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întrebări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variante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, din care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variantă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>.</w:t>
      </w:r>
    </w:p>
    <w:p w14:paraId="69AF6748" w14:textId="441B14B7" w:rsidR="00E0032C" w:rsidRPr="00E0032C" w:rsidRDefault="00E0032C" w:rsidP="00E0032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Tematica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examenul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admitere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întrebările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din care se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genera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subiectele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examen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răspunsurile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evidențiate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, pot fi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găsite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r w:rsidR="00A81B4F">
        <w:rPr>
          <w:rFonts w:ascii="Times New Roman" w:hAnsi="Times New Roman" w:cs="Times New Roman"/>
          <w:sz w:val="28"/>
          <w:szCs w:val="28"/>
        </w:rPr>
        <w:t>l</w:t>
      </w:r>
      <w:r w:rsidRPr="00E0032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32C">
        <w:rPr>
          <w:rFonts w:ascii="Times New Roman" w:hAnsi="Times New Roman" w:cs="Times New Roman"/>
          <w:sz w:val="28"/>
          <w:szCs w:val="28"/>
        </w:rPr>
        <w:t>linkuri</w:t>
      </w:r>
      <w:proofErr w:type="spellEnd"/>
      <w:r w:rsidRPr="00E0032C">
        <w:rPr>
          <w:rFonts w:ascii="Times New Roman" w:hAnsi="Times New Roman" w:cs="Times New Roman"/>
          <w:sz w:val="28"/>
          <w:szCs w:val="28"/>
        </w:rPr>
        <w:t>:</w:t>
      </w:r>
    </w:p>
    <w:p w14:paraId="091A31EA" w14:textId="77777777" w:rsidR="00E0032C" w:rsidRP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– </w:t>
      </w:r>
      <w:hyperlink r:id="rId9" w:history="1">
        <w:r w:rsidRPr="00E0032C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bdr w:val="none" w:sz="0" w:space="0" w:color="auto" w:frame="1"/>
          </w:rPr>
          <w:t>http://www.roaep.ro/instruire/wp-content/uploads/2015/11/SITE-Tematica-prezentare-detaliat–.pdf</w:t>
        </w:r>
      </w:hyperlink>
    </w:p>
    <w:p w14:paraId="4CF9A20B" w14:textId="77777777" w:rsidR="00E0032C" w:rsidRP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– </w:t>
      </w:r>
      <w:hyperlink r:id="rId10" w:history="1">
        <w:r w:rsidRPr="00E0032C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bdr w:val="none" w:sz="0" w:space="0" w:color="auto" w:frame="1"/>
          </w:rPr>
          <w:t>http://www.roaep.ro/instruire/wp-content/uploads/2015/11/intrebari-CEE_05.pdf</w:t>
        </w:r>
      </w:hyperlink>
    </w:p>
    <w:p w14:paraId="1FCA5724" w14:textId="77777777" w:rsidR="00E0032C" w:rsidRPr="00E0032C" w:rsidRDefault="00E0032C" w:rsidP="00D63937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Examenul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admitere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consideră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promovat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cazul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care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candidatul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rezolvă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corect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cel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puțin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10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întrebări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maximum 30 de minute.</w:t>
      </w:r>
    </w:p>
    <w:p w14:paraId="307DBD12" w14:textId="77777777" w:rsidR="00E0032C" w:rsidRPr="00E0032C" w:rsidRDefault="00E0032C" w:rsidP="00D6393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Precizăm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că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examenul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admitere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poate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fi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susținut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și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on-line.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Persoanele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care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doresc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să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susțină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examenul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on-line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trebuie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să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ne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comunice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această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opțiune</w:t>
      </w:r>
      <w:proofErr w:type="spellEnd"/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.</w:t>
      </w:r>
    </w:p>
    <w:p w14:paraId="62CB2FD5" w14:textId="77777777" w:rsidR="00E0032C" w:rsidRP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</w:p>
    <w:p w14:paraId="27F6E57B" w14:textId="77777777" w:rsidR="00E0032C" w:rsidRP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IMPORTANT!</w:t>
      </w: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Candidații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care nu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promovează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examenul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admitere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Corpul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experților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electorali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pot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susține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un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nou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examen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admitere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fără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mai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îndeplini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alte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formalități</w:t>
      </w:r>
      <w:proofErr w:type="spellEnd"/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5CE7720" w14:textId="77777777" w:rsidR="00E0032C" w:rsidRPr="00E0032C" w:rsidRDefault="00E0032C" w:rsidP="00E0032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6881A8EF" w14:textId="513AB7C2" w:rsidR="00E0032C" w:rsidRDefault="00E0032C" w:rsidP="00E003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4A86CA2" w14:textId="77777777" w:rsidR="00E0032C" w:rsidRPr="00E0032C" w:rsidRDefault="00E0032C" w:rsidP="00E003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28313AB7" w14:textId="77777777" w:rsidR="00E0032C" w:rsidRP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</w:p>
    <w:p w14:paraId="3F173645" w14:textId="77777777" w:rsidR="00E0032C" w:rsidRP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          </w:t>
      </w:r>
    </w:p>
    <w:p w14:paraId="628D5848" w14:textId="77777777" w:rsidR="00E0032C" w:rsidRPr="00E0032C" w:rsidRDefault="00E0032C" w:rsidP="00E003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003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</w:p>
    <w:sectPr w:rsidR="00E0032C" w:rsidRPr="00E0032C" w:rsidSect="00A81B4F">
      <w:pgSz w:w="12240" w:h="15840"/>
      <w:pgMar w:top="90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D45"/>
    <w:multiLevelType w:val="multilevel"/>
    <w:tmpl w:val="E0ACAD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22A55E10"/>
    <w:multiLevelType w:val="multilevel"/>
    <w:tmpl w:val="CB26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024FF"/>
    <w:multiLevelType w:val="multilevel"/>
    <w:tmpl w:val="0284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E08C5"/>
    <w:multiLevelType w:val="hybridMultilevel"/>
    <w:tmpl w:val="21B6CE62"/>
    <w:lvl w:ilvl="0" w:tplc="1194A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52"/>
    <w:rsid w:val="00324912"/>
    <w:rsid w:val="0041654F"/>
    <w:rsid w:val="007C236E"/>
    <w:rsid w:val="00856952"/>
    <w:rsid w:val="00A81B4F"/>
    <w:rsid w:val="00D541F3"/>
    <w:rsid w:val="00D63937"/>
    <w:rsid w:val="00E0032C"/>
    <w:rsid w:val="00F6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4715"/>
  <w15:chartTrackingRefBased/>
  <w15:docId w15:val="{C8D295D4-89FF-4716-B363-EBAC0A66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3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aep.ro/instruire/wp-content/uploads/2015/11/cerere-admitere-examen-CE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aep.ro/instruire/wp-content/uploads/2015/11/cerere-admitere-Aviz-favorabil-CE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ert.bucuresti@roaep.r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ctoral@primarie3.ro" TargetMode="External"/><Relationship Id="rId10" Type="http://schemas.openxmlformats.org/officeDocument/2006/relationships/hyperlink" Target="http://www.roaep.ro/instruire/wp-content/uploads/2015/11/intrebari-CEE_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aep.ro/instruire/wp-content/uploads/2015/11/SITE-Tematica-prezentare-detaliat-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jur8</dc:creator>
  <cp:keywords/>
  <dc:description/>
  <cp:lastModifiedBy>jur8</cp:lastModifiedBy>
  <cp:revision>5</cp:revision>
  <dcterms:created xsi:type="dcterms:W3CDTF">2019-02-28T08:25:00Z</dcterms:created>
  <dcterms:modified xsi:type="dcterms:W3CDTF">2019-02-28T09:10:00Z</dcterms:modified>
</cp:coreProperties>
</file>