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Pr="00BA0AC5" w:rsidRDefault="00C03ADA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02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.03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9C1E0E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D92934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D92934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A44" w:rsidRPr="004D5A88" w:rsidRDefault="006E7CC0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34.300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6.525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7B5A4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6E7CC0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6E7CC0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327A3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C9619C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7A3" w:rsidRDefault="002327A3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32115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6E7CC0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6E7C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2665E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65E" w:rsidRPr="00B30A4A" w:rsidRDefault="0012665E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665E" w:rsidRPr="0012665E" w:rsidRDefault="0012665E" w:rsidP="0012665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665E">
              <w:rPr>
                <w:rFonts w:ascii="Times New Roman" w:hAnsi="Times New Roman"/>
                <w:b/>
                <w:color w:val="000000"/>
              </w:rPr>
              <w:t>153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665E" w:rsidRPr="0012665E" w:rsidRDefault="0012665E" w:rsidP="0012665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665E">
              <w:rPr>
                <w:rFonts w:ascii="Times New Roman" w:hAnsi="Times New Roman"/>
                <w:b/>
                <w:color w:val="000000"/>
              </w:rPr>
              <w:t>50.825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665E" w:rsidRPr="0012665E" w:rsidRDefault="0012665E" w:rsidP="0012665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665E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2665E" w:rsidRPr="0012665E" w:rsidRDefault="0012665E" w:rsidP="0012665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665E">
              <w:rPr>
                <w:rFonts w:ascii="Times New Roman" w:hAnsi="Times New Roman"/>
                <w:b/>
                <w:color w:val="000000"/>
              </w:rPr>
              <w:t>14.500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2665E" w:rsidRPr="002327A3" w:rsidRDefault="0012665E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D41B92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12665E">
              <w:rPr>
                <w:rFonts w:ascii="Times New Roman" w:eastAsia="Times New Roman" w:hAnsi="Times New Roman"/>
                <w:b/>
                <w:bCs/>
                <w:lang w:eastAsia="ro-RO"/>
              </w:rPr>
              <w:t>159</w:t>
            </w:r>
          </w:p>
          <w:p w:rsidR="00E01CCC" w:rsidRPr="00D679C8" w:rsidRDefault="00B576FF" w:rsidP="00C03A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12665E">
              <w:rPr>
                <w:rFonts w:ascii="Times New Roman" w:eastAsia="Times New Roman" w:hAnsi="Times New Roman"/>
                <w:b/>
                <w:bCs/>
                <w:lang w:eastAsia="ro-RO"/>
              </w:rPr>
              <w:t>65.325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D9293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203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D9293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129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9293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9293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Persoane dispărute/date în urmărire </w:t>
            </w:r>
            <w:r w:rsidR="007E7183">
              <w:rPr>
                <w:rFonts w:ascii="Times New Roman" w:eastAsia="Times New Roman" w:hAnsi="Times New Roman"/>
                <w:lang w:eastAsia="ro-RO"/>
              </w:rPr>
              <w:t>/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0126CC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0126CC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0126CC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248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0126CC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40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0126CC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85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0126CC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0126CC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C1E0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C1E0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C1E0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9C1E0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9C1E0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9C1E0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9C1E0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9C1E0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59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9C1E0E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574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0126C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C1E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C1E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25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9C1E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C1E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C1E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14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C1E0E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9C1E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9C1E0E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170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C03ADA" w:rsidP="00FA51F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555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65" w:type="pct"/>
        <w:jc w:val="center"/>
        <w:tblInd w:w="-459" w:type="dxa"/>
        <w:tblLayout w:type="fixed"/>
        <w:tblLook w:val="04A0"/>
      </w:tblPr>
      <w:tblGrid>
        <w:gridCol w:w="9407"/>
      </w:tblGrid>
      <w:tr w:rsidR="00E01CCC" w:rsidRPr="00DC3F5A" w:rsidTr="009761D3">
        <w:trPr>
          <w:trHeight w:hRule="exact" w:val="57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0126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FĂRĂ 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7E2FFE" w:rsidRDefault="007E2FFE" w:rsidP="007E2FF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CF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9761D3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7E2FFE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126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126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9A" w:rsidRDefault="00DC109A" w:rsidP="00F62573">
      <w:pPr>
        <w:spacing w:after="0" w:line="240" w:lineRule="auto"/>
      </w:pPr>
      <w:r>
        <w:separator/>
      </w:r>
    </w:p>
  </w:endnote>
  <w:endnote w:type="continuationSeparator" w:id="1">
    <w:p w:rsidR="00DC109A" w:rsidRDefault="00DC109A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2575C4" w:rsidP="00022DA1">
    <w:pPr>
      <w:ind w:left="8617"/>
      <w:jc w:val="both"/>
    </w:pPr>
    <w:r w:rsidRPr="002575C4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761D3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2575C4" w:rsidP="007F3766">
    <w:pPr>
      <w:spacing w:after="240" w:line="240" w:lineRule="auto"/>
      <w:jc w:val="both"/>
      <w:rPr>
        <w:rFonts w:ascii="Times New Roman" w:hAnsi="Times New Roman"/>
      </w:rPr>
    </w:pPr>
    <w:r w:rsidRPr="002575C4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9761D3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9A" w:rsidRDefault="00DC109A" w:rsidP="00F62573">
      <w:pPr>
        <w:spacing w:after="0" w:line="240" w:lineRule="auto"/>
      </w:pPr>
      <w:r>
        <w:separator/>
      </w:r>
    </w:p>
  </w:footnote>
  <w:footnote w:type="continuationSeparator" w:id="1">
    <w:p w:rsidR="00DC109A" w:rsidRDefault="00DC109A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705CE3D8"/>
    <w:lvl w:ilvl="0" w:tplc="69AAFBA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4608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26CC"/>
    <w:rsid w:val="000130B5"/>
    <w:rsid w:val="00016CDD"/>
    <w:rsid w:val="00032E59"/>
    <w:rsid w:val="000528DE"/>
    <w:rsid w:val="00057735"/>
    <w:rsid w:val="000657EA"/>
    <w:rsid w:val="00074239"/>
    <w:rsid w:val="00083C27"/>
    <w:rsid w:val="000845B3"/>
    <w:rsid w:val="000A10E7"/>
    <w:rsid w:val="000B398C"/>
    <w:rsid w:val="000B43C2"/>
    <w:rsid w:val="000C1CB5"/>
    <w:rsid w:val="000C20FD"/>
    <w:rsid w:val="000C61AA"/>
    <w:rsid w:val="000C6E9F"/>
    <w:rsid w:val="000D047E"/>
    <w:rsid w:val="000E0074"/>
    <w:rsid w:val="000E00AA"/>
    <w:rsid w:val="000F1342"/>
    <w:rsid w:val="00121737"/>
    <w:rsid w:val="00124336"/>
    <w:rsid w:val="0012596E"/>
    <w:rsid w:val="00125999"/>
    <w:rsid w:val="0012665E"/>
    <w:rsid w:val="00157A82"/>
    <w:rsid w:val="00162EE9"/>
    <w:rsid w:val="001650CF"/>
    <w:rsid w:val="00177D00"/>
    <w:rsid w:val="001860CB"/>
    <w:rsid w:val="00190D0E"/>
    <w:rsid w:val="00196B8C"/>
    <w:rsid w:val="001B3E39"/>
    <w:rsid w:val="001E1295"/>
    <w:rsid w:val="001F4348"/>
    <w:rsid w:val="00205045"/>
    <w:rsid w:val="00226F35"/>
    <w:rsid w:val="002327A3"/>
    <w:rsid w:val="00236DBD"/>
    <w:rsid w:val="00241547"/>
    <w:rsid w:val="002575C4"/>
    <w:rsid w:val="0026125B"/>
    <w:rsid w:val="00267CDE"/>
    <w:rsid w:val="002A1F93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7D3C"/>
    <w:rsid w:val="00424535"/>
    <w:rsid w:val="004316F3"/>
    <w:rsid w:val="00432A1C"/>
    <w:rsid w:val="00433079"/>
    <w:rsid w:val="00462C5D"/>
    <w:rsid w:val="0047648D"/>
    <w:rsid w:val="0048008C"/>
    <w:rsid w:val="00486A9E"/>
    <w:rsid w:val="004B6869"/>
    <w:rsid w:val="004B7A19"/>
    <w:rsid w:val="004D5A88"/>
    <w:rsid w:val="004E36E4"/>
    <w:rsid w:val="004F3490"/>
    <w:rsid w:val="004F50A9"/>
    <w:rsid w:val="00526A1D"/>
    <w:rsid w:val="005321FC"/>
    <w:rsid w:val="005327F3"/>
    <w:rsid w:val="00533647"/>
    <w:rsid w:val="0053563C"/>
    <w:rsid w:val="00542A44"/>
    <w:rsid w:val="00574CA6"/>
    <w:rsid w:val="00591E32"/>
    <w:rsid w:val="005975E1"/>
    <w:rsid w:val="005A02FD"/>
    <w:rsid w:val="005B00C6"/>
    <w:rsid w:val="005C1567"/>
    <w:rsid w:val="005D1699"/>
    <w:rsid w:val="005E2197"/>
    <w:rsid w:val="005E363C"/>
    <w:rsid w:val="00610E41"/>
    <w:rsid w:val="00610F4F"/>
    <w:rsid w:val="00611D5F"/>
    <w:rsid w:val="006552A2"/>
    <w:rsid w:val="00657094"/>
    <w:rsid w:val="00683CC9"/>
    <w:rsid w:val="00691585"/>
    <w:rsid w:val="006E7CC0"/>
    <w:rsid w:val="006F5978"/>
    <w:rsid w:val="00700C84"/>
    <w:rsid w:val="00714843"/>
    <w:rsid w:val="00717E28"/>
    <w:rsid w:val="00726BD5"/>
    <w:rsid w:val="00732033"/>
    <w:rsid w:val="00732115"/>
    <w:rsid w:val="00752D28"/>
    <w:rsid w:val="0076460B"/>
    <w:rsid w:val="0079376C"/>
    <w:rsid w:val="007A0FB2"/>
    <w:rsid w:val="007B4B6B"/>
    <w:rsid w:val="007B5A44"/>
    <w:rsid w:val="007C7E69"/>
    <w:rsid w:val="007D708E"/>
    <w:rsid w:val="007E1CF1"/>
    <w:rsid w:val="007E2FFE"/>
    <w:rsid w:val="007E7183"/>
    <w:rsid w:val="008042D0"/>
    <w:rsid w:val="00814F22"/>
    <w:rsid w:val="00815995"/>
    <w:rsid w:val="00846458"/>
    <w:rsid w:val="008547ED"/>
    <w:rsid w:val="008570A2"/>
    <w:rsid w:val="00864DF9"/>
    <w:rsid w:val="0086645F"/>
    <w:rsid w:val="00873CBE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73456"/>
    <w:rsid w:val="009761D3"/>
    <w:rsid w:val="009913A8"/>
    <w:rsid w:val="009A3328"/>
    <w:rsid w:val="009B1910"/>
    <w:rsid w:val="009B7485"/>
    <w:rsid w:val="009C10F2"/>
    <w:rsid w:val="009C1E0E"/>
    <w:rsid w:val="009C53BA"/>
    <w:rsid w:val="009D19EB"/>
    <w:rsid w:val="009D7B29"/>
    <w:rsid w:val="009E732A"/>
    <w:rsid w:val="00A14EE8"/>
    <w:rsid w:val="00A21CBA"/>
    <w:rsid w:val="00A227D8"/>
    <w:rsid w:val="00A37F85"/>
    <w:rsid w:val="00A56700"/>
    <w:rsid w:val="00A77647"/>
    <w:rsid w:val="00A80D5E"/>
    <w:rsid w:val="00A90C8B"/>
    <w:rsid w:val="00A93356"/>
    <w:rsid w:val="00A96C90"/>
    <w:rsid w:val="00AA2165"/>
    <w:rsid w:val="00AA3089"/>
    <w:rsid w:val="00AC107F"/>
    <w:rsid w:val="00AD02C7"/>
    <w:rsid w:val="00AD35DC"/>
    <w:rsid w:val="00B12B9F"/>
    <w:rsid w:val="00B36594"/>
    <w:rsid w:val="00B44ADD"/>
    <w:rsid w:val="00B576FF"/>
    <w:rsid w:val="00B7041E"/>
    <w:rsid w:val="00B946A5"/>
    <w:rsid w:val="00B96E58"/>
    <w:rsid w:val="00BA0724"/>
    <w:rsid w:val="00BA0AC5"/>
    <w:rsid w:val="00BA2F2F"/>
    <w:rsid w:val="00BB1F90"/>
    <w:rsid w:val="00BC179A"/>
    <w:rsid w:val="00BC4C02"/>
    <w:rsid w:val="00BF350A"/>
    <w:rsid w:val="00C03ADA"/>
    <w:rsid w:val="00C05777"/>
    <w:rsid w:val="00C11D81"/>
    <w:rsid w:val="00C15246"/>
    <w:rsid w:val="00C35ABA"/>
    <w:rsid w:val="00C35E07"/>
    <w:rsid w:val="00C443C1"/>
    <w:rsid w:val="00C814F9"/>
    <w:rsid w:val="00C93692"/>
    <w:rsid w:val="00C9619C"/>
    <w:rsid w:val="00C9670E"/>
    <w:rsid w:val="00CB11CF"/>
    <w:rsid w:val="00CC76BB"/>
    <w:rsid w:val="00D00783"/>
    <w:rsid w:val="00D31314"/>
    <w:rsid w:val="00D41B92"/>
    <w:rsid w:val="00D51683"/>
    <w:rsid w:val="00D679C8"/>
    <w:rsid w:val="00D70B78"/>
    <w:rsid w:val="00D92934"/>
    <w:rsid w:val="00DA33DF"/>
    <w:rsid w:val="00DB4478"/>
    <w:rsid w:val="00DC109A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B63D4"/>
    <w:rsid w:val="00EC4CD7"/>
    <w:rsid w:val="00ED6DE9"/>
    <w:rsid w:val="00F12DC0"/>
    <w:rsid w:val="00F335AE"/>
    <w:rsid w:val="00F3551C"/>
    <w:rsid w:val="00F42581"/>
    <w:rsid w:val="00F52954"/>
    <w:rsid w:val="00F54848"/>
    <w:rsid w:val="00F55411"/>
    <w:rsid w:val="00F62573"/>
    <w:rsid w:val="00F866E7"/>
    <w:rsid w:val="00F955ED"/>
    <w:rsid w:val="00F96881"/>
    <w:rsid w:val="00FA10D1"/>
    <w:rsid w:val="00FA51F0"/>
    <w:rsid w:val="00FB1974"/>
    <w:rsid w:val="00FC2909"/>
    <w:rsid w:val="00FD3AE9"/>
    <w:rsid w:val="00FE0969"/>
    <w:rsid w:val="00FE476F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825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8</cp:revision>
  <cp:lastPrinted>2020-02-25T08:35:00Z</cp:lastPrinted>
  <dcterms:created xsi:type="dcterms:W3CDTF">2020-03-03T07:54:00Z</dcterms:created>
  <dcterms:modified xsi:type="dcterms:W3CDTF">2020-03-03T08:17:00Z</dcterms:modified>
</cp:coreProperties>
</file>