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82DD3" w:rsidRPr="00C1479D" w14:paraId="1A40EACC" w14:textId="77777777" w:rsidTr="005F5BA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AB584E4" w14:textId="77777777" w:rsidR="00F82DD3" w:rsidRDefault="00F82DD3" w:rsidP="005F5BA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0B7E0EB" w14:textId="77777777" w:rsidR="00F82DD3" w:rsidRDefault="00F82DD3" w:rsidP="005F5BA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93C52C9" w14:textId="28F02027" w:rsidR="00F82DD3" w:rsidRPr="00C1479D" w:rsidRDefault="00F82DD3" w:rsidP="005F5BA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82DD3" w:rsidRPr="00C1479D" w14:paraId="09486F56" w14:textId="77777777" w:rsidTr="005F5BA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77C5EAA" w14:textId="77777777" w:rsidR="00F82DD3" w:rsidRPr="002430B2" w:rsidRDefault="00F82DD3" w:rsidP="005F5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82DD3" w:rsidRPr="00C1479D" w14:paraId="44DB37CF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E3E5F9" w14:textId="77777777" w:rsidR="00F82DD3" w:rsidRPr="00A237A6" w:rsidRDefault="00F82DD3" w:rsidP="005F5B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3FA4FFB" w14:textId="77777777" w:rsidR="00F82DD3" w:rsidRPr="00EC5233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DD3" w:rsidRPr="00C1479D" w14:paraId="31156307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F8E20F" w14:textId="77777777" w:rsidR="00F82DD3" w:rsidRPr="00A237A6" w:rsidRDefault="00F82DD3" w:rsidP="005F5B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F051577" w14:textId="77777777" w:rsidR="00F82DD3" w:rsidRPr="00A237A6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DD3" w:rsidRPr="00C1479D" w14:paraId="0B671F41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84D37E" w14:textId="77777777" w:rsidR="00F82DD3" w:rsidRPr="00A237A6" w:rsidRDefault="00F82DD3" w:rsidP="005F5B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EB25B59" w14:textId="77777777" w:rsidR="00F82DD3" w:rsidRPr="00A237A6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82DD3" w:rsidRPr="00C1479D" w14:paraId="5CD26114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26C3C1" w14:textId="77777777" w:rsidR="00F82DD3" w:rsidRDefault="00F82DD3" w:rsidP="005F5B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306D01" w14:textId="77777777" w:rsidR="00F82DD3" w:rsidRPr="00A237A6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F82DD3" w:rsidRPr="00C1479D" w14:paraId="70386026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E3326F" w14:textId="77777777" w:rsidR="00F82DD3" w:rsidRPr="008F7624" w:rsidRDefault="00F82DD3" w:rsidP="005F5BAC">
            <w:pPr>
              <w:pStyle w:val="NoSpacing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7624">
              <w:rPr>
                <w:rFonts w:ascii="Times New Roman" w:hAnsi="Times New Roman"/>
                <w:sz w:val="20"/>
                <w:szCs w:val="20"/>
              </w:rPr>
              <w:t xml:space="preserve">Plan de Măsuri nr.473135/20.08.2020  privind asigurarea pazei în unitățile de învățământ desemnate Centre de Examen și Centru Zonal de Evaluare la examenul de bacalaureat </w:t>
            </w:r>
          </w:p>
          <w:p w14:paraId="601278FB" w14:textId="77777777" w:rsidR="00F82DD3" w:rsidRDefault="00F82DD3" w:rsidP="005F5B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FB818EA" w14:textId="77777777" w:rsidR="00F82DD3" w:rsidRPr="008F7624" w:rsidRDefault="00F82DD3" w:rsidP="005F5BAC">
            <w:pPr>
              <w:ind w:left="-113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7624">
              <w:rPr>
                <w:rFonts w:ascii="Times New Roman" w:hAnsi="Times New Roman" w:cs="Times New Roman"/>
                <w:bCs/>
                <w:sz w:val="20"/>
                <w:szCs w:val="20"/>
              </w:rPr>
              <w:t>Colegiul Tehnic Mihai Bravu; Colegiul Tehnologic Elie Radu, Liceul Teoretic Decebal; Centrul Zonal de Evaluare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F7624">
              <w:rPr>
                <w:rFonts w:ascii="Times New Roman" w:hAnsi="Times New Roman" w:cs="Times New Roman"/>
                <w:bCs/>
                <w:sz w:val="20"/>
                <w:szCs w:val="20"/>
              </w:rPr>
              <w:t>Liceul Teoretic Benjamin Franklin și centrul colectare lucrări examen de bacalaureat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F7624">
              <w:rPr>
                <w:rFonts w:ascii="Times New Roman" w:hAnsi="Times New Roman" w:cs="Times New Roman"/>
                <w:bCs/>
                <w:sz w:val="20"/>
                <w:szCs w:val="20"/>
              </w:rPr>
              <w:t>Școala Gimnazială Leonardo da Vinci.</w:t>
            </w:r>
          </w:p>
          <w:p w14:paraId="14A099C9" w14:textId="77777777" w:rsidR="00F82DD3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DD3" w:rsidRPr="00C1479D" w14:paraId="1253094F" w14:textId="77777777" w:rsidTr="005F5BA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DCD917C" w14:textId="77777777" w:rsidR="00F82DD3" w:rsidRPr="002430B2" w:rsidRDefault="00F82DD3" w:rsidP="005F5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82DD3" w:rsidRPr="00C1479D" w14:paraId="0DC16CC0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98C536" w14:textId="77777777" w:rsidR="00F82DD3" w:rsidRPr="00EC5233" w:rsidRDefault="00F82DD3" w:rsidP="005F5BA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D27437" w14:textId="61E6F452" w:rsidR="00F82DD3" w:rsidRPr="00EC5233" w:rsidRDefault="002C7C4D" w:rsidP="005F5BA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F82DD3" w:rsidRPr="00C1479D" w14:paraId="216E0B1C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75C483" w14:textId="77777777" w:rsidR="00F82DD3" w:rsidRPr="00EC5233" w:rsidRDefault="00F82DD3" w:rsidP="005F5BA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100A95C" w14:textId="05190487" w:rsidR="00F82DD3" w:rsidRPr="00EC5233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82DD3" w:rsidRPr="00C1479D" w14:paraId="6454A49D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ACFF1A" w14:textId="77777777" w:rsidR="00F82DD3" w:rsidRPr="00EC5233" w:rsidRDefault="00F82DD3" w:rsidP="005F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8C33854" w14:textId="2BCF7062" w:rsidR="00F82DD3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82DD3" w:rsidRPr="00C1479D" w14:paraId="4A2BCCA8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3BFA6C" w14:textId="77777777" w:rsidR="00F82DD3" w:rsidRPr="00EC5233" w:rsidRDefault="00F82DD3" w:rsidP="005F5BA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E02BD79" w14:textId="22829E13" w:rsidR="00F82DD3" w:rsidRPr="00EC5233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82DD3" w:rsidRPr="00C1479D" w14:paraId="0EC7E95A" w14:textId="77777777" w:rsidTr="005F5B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57330F" w14:textId="77777777" w:rsidR="00F82DD3" w:rsidRPr="00EC5233" w:rsidRDefault="00F82DD3" w:rsidP="005F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4E7ABF" w14:textId="07F705B7" w:rsidR="00F82DD3" w:rsidRDefault="00F82DD3" w:rsidP="005F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82DD3" w:rsidRPr="00C1479D" w14:paraId="5E953775" w14:textId="77777777" w:rsidTr="005F5BA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64FCDC1" w14:textId="77777777" w:rsidR="00F82DD3" w:rsidRPr="002430B2" w:rsidRDefault="00F82DD3" w:rsidP="005F5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82DD3" w:rsidRPr="00C1479D" w14:paraId="3C355EA1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7D753F" w14:textId="77777777" w:rsidR="00F82DD3" w:rsidRPr="00EE4929" w:rsidRDefault="00F82DD3" w:rsidP="005F5BA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107C162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2C217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2CBF01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A84A3F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82DD3" w:rsidRPr="00C1479D" w14:paraId="4EE50503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67C172F" w14:textId="77777777" w:rsidR="00F82DD3" w:rsidRPr="00EE4929" w:rsidRDefault="00F82DD3" w:rsidP="005F5BA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9257F7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6457C2B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B94481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885DC43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5FB030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BF6DD9C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8A057AD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A5075EA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BC88BB1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7A3DE8A" w14:textId="77777777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49D3AC8" w14:textId="77777777" w:rsidR="00F82DD3" w:rsidRPr="00EE4929" w:rsidRDefault="00F82DD3" w:rsidP="005F5BA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795EBCF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FE35C2" w14:textId="383B5705" w:rsidR="00F82DD3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611C02" w14:textId="578622E5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7C4BFA" w14:textId="4FF5A15A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7B61BB" w14:textId="1D3BE4B2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610758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639A17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1B41B7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B4EFC2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64A6C16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853C1B" w14:textId="1A2D8168" w:rsidR="00F82DD3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5FBDF0" w14:textId="5ECA23B5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0669C4" w14:textId="0BC8C80D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146C48" w14:textId="3F2E441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8AC519" w14:textId="30AF406A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B819BD" w14:textId="4E46E3FF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C03057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0B5ACA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60FF4D81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56C4AA" w14:textId="37E0F54A" w:rsidR="00F82DD3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C3A0B2" w14:textId="4C2EDF70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F8BF15" w14:textId="3D3EB76F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C74A1F" w14:textId="2A0FFECF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73314B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3706A1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06160D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888FBF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50CDB3B8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4D4AC5" w14:textId="503BCFB3" w:rsidR="00F82DD3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3A3989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BE3209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924104" w14:textId="219BD41B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D4DD58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3C36DC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117C9B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E6295E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5C92A948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747900" w14:textId="08F14759" w:rsidR="00F82DD3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52E910" w14:textId="56624998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C3F296" w14:textId="4EA2CB69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3E5449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344EA9" w14:textId="2B4ADB1A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BA7094" w14:textId="71C45001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7DA6AB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6FE436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3EDF4D86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51BCE" w14:textId="548C6CC0" w:rsidR="00F82DD3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B86FDA" w14:textId="2A34DF90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A7B2A6" w14:textId="49715AAC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7D4EF8" w14:textId="1CB05DA4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4B77A4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39B42F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C22E3D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74B8B8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6700063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ADEFFD" w14:textId="1F81EC89" w:rsidR="00F82DD3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DC7C61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9C42F2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C1101D" w14:textId="565BFDD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93E5FB" w14:textId="4F5DF886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EA7F90" w14:textId="04CD3459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2C85B0" w14:textId="7777777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118AA1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315883B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FB9A58" w14:textId="24C896B8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5CC914" w14:textId="3E4AD9AD" w:rsidR="00F82DD3" w:rsidRPr="00EE4929" w:rsidRDefault="00F82DD3" w:rsidP="00F82D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9AFD6C" w14:textId="588D8A9A" w:rsidR="00F82DD3" w:rsidRPr="00EE4929" w:rsidRDefault="00F82DD3" w:rsidP="00F82D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25.230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3F90D80" w14:textId="490B1E18" w:rsidR="00F82DD3" w:rsidRPr="00EE4929" w:rsidRDefault="00F82DD3" w:rsidP="00F82D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87A550" w14:textId="4A8E6AFD" w:rsidR="00F82DD3" w:rsidRPr="00EE4929" w:rsidRDefault="00F82DD3" w:rsidP="00F82D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2DDE8A6" w14:textId="54AB57CE" w:rsidR="00F82DD3" w:rsidRPr="00EE4929" w:rsidRDefault="00F82DD3" w:rsidP="00F82D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32E213" w14:textId="77777777" w:rsidR="00F82DD3" w:rsidRPr="009F6220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17CE77" w14:textId="77777777" w:rsidR="00F82DD3" w:rsidRPr="00EE4929" w:rsidRDefault="00F82DD3" w:rsidP="00F82D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3F56414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BC2178A" w14:textId="60CFA25C" w:rsidR="00F82DD3" w:rsidRPr="00C1479D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  <w:p w14:paraId="500DDFF9" w14:textId="79CCF57C" w:rsidR="00F82DD3" w:rsidRPr="00EE4929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28.230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F82DD3" w:rsidRPr="00C1479D" w14:paraId="7B13AA5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B140BC0" w14:textId="77777777" w:rsidR="00F82DD3" w:rsidRPr="002430B2" w:rsidRDefault="00F82DD3" w:rsidP="005F5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82DD3" w:rsidRPr="00C1479D" w14:paraId="5B297D57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C7B2439" w14:textId="77777777" w:rsidR="00F82DD3" w:rsidRPr="00EE4929" w:rsidRDefault="00F82DD3" w:rsidP="005F5BA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82DD3" w:rsidRPr="00C1479D" w14:paraId="5C65E49C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1BA5C41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57207CC" w14:textId="77777777" w:rsidR="00F82DD3" w:rsidRPr="00EE4929" w:rsidRDefault="00F82DD3" w:rsidP="00F82D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A20350" w14:textId="6BD200F0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</w:tc>
      </w:tr>
      <w:tr w:rsidR="00F82DD3" w:rsidRPr="00C1479D" w14:paraId="16757FF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0018A0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ABD97CE" w14:textId="726EA94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</w:tr>
      <w:tr w:rsidR="00F82DD3" w:rsidRPr="00C1479D" w14:paraId="1208E0A8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4BB2789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E86F77" w14:textId="14899415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82DD3" w:rsidRPr="00C1479D" w14:paraId="07DA9B9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9F37E3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C2FFBC5" w14:textId="67469281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F82DD3" w:rsidRPr="00C1479D" w14:paraId="2F28D136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88FE6C4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94D128" w14:textId="60822224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82DD3" w:rsidRPr="00C1479D" w14:paraId="34D83862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EECAD3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2E7E210" w14:textId="5DA73CE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82DD3" w:rsidRPr="00C1479D" w14:paraId="64BB59D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F7E6C2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5C948A" w14:textId="4DDC966B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70A38E26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722935" w14:textId="77777777" w:rsidR="00F82DD3" w:rsidRPr="00EE4929" w:rsidRDefault="00F82DD3" w:rsidP="005F5BA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82DD3" w:rsidRPr="00C1479D" w14:paraId="5C22F883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9134FA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AA3E40" w14:textId="567502D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6E84FAE6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A49C92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1764DA" w14:textId="6D9432E7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F82DD3" w:rsidRPr="00C1479D" w14:paraId="57C66643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9A458F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6B7076" w14:textId="4ABE5A1D" w:rsidR="00F82DD3" w:rsidRPr="000E5CE5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211/7</w:t>
            </w:r>
          </w:p>
        </w:tc>
      </w:tr>
      <w:tr w:rsidR="00F82DD3" w:rsidRPr="00C1479D" w14:paraId="660DA47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4DFADE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9E1161" w14:textId="5A8AB59C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1E91E32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6AFDC3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5F2D7" w14:textId="60800CFE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F82DD3" w:rsidRPr="00C1479D" w14:paraId="38A68436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3CF64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F81E13" w14:textId="51E47C54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82DD3" w:rsidRPr="00C1479D" w14:paraId="5DAECFC0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2AE621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B6A02" w14:textId="3B5C500C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82DD3" w:rsidRPr="00C1479D" w14:paraId="733F7C42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64F0DD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790848" w14:textId="0F562B8A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F82DD3" w:rsidRPr="00C1479D" w14:paraId="5E5D6500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8EE277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92DE0D" w14:textId="26DDA02F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82DD3" w:rsidRPr="00C1479D" w14:paraId="073C43B7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F88765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6EF1BA" w14:textId="656D78D2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</w:t>
            </w:r>
          </w:p>
        </w:tc>
      </w:tr>
      <w:tr w:rsidR="00F82DD3" w:rsidRPr="00C1479D" w14:paraId="0F2C5C5B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FE8079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937641" w14:textId="0CE26EA5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82DD3" w:rsidRPr="00C1479D" w14:paraId="4B8D32F0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DFC023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DAD795" w14:textId="601E5A56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82DD3" w:rsidRPr="00C1479D" w14:paraId="2BB54CD6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E809CB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CC53BD" w14:textId="4D6D76E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F82DD3" w:rsidRPr="00C1479D" w14:paraId="455CF77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5169AF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504466" w14:textId="2B69CD6D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82DD3" w:rsidRPr="00C1479D" w14:paraId="0AD87210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8F48C2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E705DC" w14:textId="6E592B27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36861D9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9C7893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CA720D" w14:textId="46B4B813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2FD878E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2ACF0D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55F658" w14:textId="7C5BA8D0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0A1568E1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A2A463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893079" w14:textId="2E3DC778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82DD3" w:rsidRPr="00C1479D" w14:paraId="2D537ED4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6527D2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AA50" w14:textId="6CB42FFC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82DD3" w:rsidRPr="00C1479D" w14:paraId="66EBA99F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55498" w14:textId="77777777" w:rsidR="00F82DD3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FB334B" w14:textId="74C14C0D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3C52C15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D72FBF" w14:textId="77777777" w:rsidR="00F82DD3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4F9D4F" w14:textId="3B319A04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607D4062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4DCFA75B" w14:textId="77777777" w:rsidR="00F82DD3" w:rsidRPr="0085003A" w:rsidRDefault="00F82DD3" w:rsidP="005F5BA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B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NOTĂ:</w:t>
            </w:r>
            <w:r w:rsidRPr="00485B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inetrvalul 24-27 august, efectivele Servicului Monitorizare Obiective și Unități de Învățământ și cele ale Direcției Ordine Publică și Control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asigură paza</w:t>
            </w:r>
            <w:r w:rsidRPr="00485B3F">
              <w:rPr>
                <w:rFonts w:ascii="Times New Roman" w:hAnsi="Times New Roman" w:cs="Times New Roman"/>
                <w:sz w:val="20"/>
                <w:szCs w:val="20"/>
              </w:rPr>
              <w:t xml:space="preserve"> în unitățile de învățământ desemnate Centre de Examen și Centru Zonal de Evaluare aflate pe raza sectorului 3, pentru buna desfășurare a examenului național de bacalaureat. Centrele de examen sunt:</w:t>
            </w:r>
            <w:r w:rsidRPr="00485B3F">
              <w:rPr>
                <w:sz w:val="20"/>
                <w:szCs w:val="20"/>
              </w:rPr>
              <w:t xml:space="preserve"> </w:t>
            </w:r>
            <w:r w:rsidRPr="00485B3F">
              <w:rPr>
                <w:rFonts w:ascii="Times New Roman" w:hAnsi="Times New Roman" w:cs="Times New Roman"/>
                <w:sz w:val="20"/>
                <w:szCs w:val="20"/>
              </w:rPr>
              <w:t>Colegiul Tehnic Mihai Bravu; Colegiul Tehnologic Elie Radu, Liceul Teoretic Decebal; Centrul Zonal de Evaluare este Liceul Teoretic Benjamin Franklin și centrul colectare lucrări examen de bacalaureat Școala Gimnazială Leonardo da Vinci.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Efective participante: 10 polițiști locali.</w:t>
            </w:r>
          </w:p>
          <w:p w14:paraId="325420DB" w14:textId="77777777" w:rsidR="00F82DD3" w:rsidRDefault="00F82DD3" w:rsidP="005F5B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DD3" w:rsidRPr="00C1479D" w14:paraId="058A400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01BCCBD" w14:textId="77777777" w:rsidR="00F82DD3" w:rsidRPr="00EE4929" w:rsidRDefault="00F82DD3" w:rsidP="005F5BA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82DD3" w:rsidRPr="00C1479D" w14:paraId="47553F30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756CA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593BBB" w14:textId="1925E0F4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F82DD3" w:rsidRPr="00C1479D" w14:paraId="67934B4A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5EE81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B8B13" w14:textId="2422C26E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272A797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4B99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CEDC6" w14:textId="13D395B8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13F73879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23DA5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3A900" w14:textId="6689EC14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29F7CC91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E3AC6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175FB" w14:textId="33FC3991" w:rsidR="00F82DD3" w:rsidRPr="00E61E26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F82DD3" w:rsidRPr="00C1479D" w14:paraId="1DD60E1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F9ADD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4CF00" w14:textId="263C24D6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06A9C740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84394" w14:textId="77777777" w:rsidR="00F82DD3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7564D2" w14:textId="683D812F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F82DD3" w:rsidRPr="00C1479D" w14:paraId="2C3CBBDE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4D9880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E02D75" w14:textId="698BC8D8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4657D5B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000FBD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688233" w14:textId="7CC7AB24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284214EC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AF8D20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C5D9D2" w14:textId="211F230C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82DD3" w:rsidRPr="00C1479D" w14:paraId="78CCA5F8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296E17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11F5A" w14:textId="31F91CE4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13CF8EB3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8190C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B5C83C" w14:textId="7BA674E0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43360A8A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A227E5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E13EE1" w14:textId="669306FF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09C4CE37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F30F2" w14:textId="77777777" w:rsidR="00F82DD3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455B1B" w14:textId="21622F0D" w:rsidR="00F82DD3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82DD3" w:rsidRPr="00C1479D" w14:paraId="34D6FF4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27B852" w14:textId="77777777" w:rsidR="00F82DD3" w:rsidRPr="00EE4929" w:rsidRDefault="00F82DD3" w:rsidP="005F5BA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82DD3" w:rsidRPr="00C1479D" w14:paraId="664447AE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0CFAD3" w14:textId="77777777" w:rsidR="00F82DD3" w:rsidRPr="00EE4929" w:rsidRDefault="00F82DD3" w:rsidP="00F82D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FF3FEE" w14:textId="465A8644" w:rsidR="00F82DD3" w:rsidRPr="00EE4929" w:rsidRDefault="00F82DD3" w:rsidP="00F82D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F82DD3" w:rsidRPr="00C1479D" w14:paraId="16E2328A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EBD38" w14:textId="77777777" w:rsidR="00F82DD3" w:rsidRPr="00EE4929" w:rsidRDefault="00F82DD3" w:rsidP="00F82D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2DF378" w14:textId="6AF4B30B" w:rsidR="00F82DD3" w:rsidRPr="00EE4929" w:rsidRDefault="00F82DD3" w:rsidP="00F82D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F82DD3" w:rsidRPr="00C1479D" w14:paraId="3BC8C184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999FE" w14:textId="77777777" w:rsidR="00F82DD3" w:rsidRPr="00EE4929" w:rsidRDefault="00F82DD3" w:rsidP="00F82D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559884" w14:textId="49E25FD4" w:rsidR="00F82DD3" w:rsidRDefault="00F82DD3" w:rsidP="00F82D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7/6</w:t>
            </w:r>
          </w:p>
        </w:tc>
      </w:tr>
      <w:tr w:rsidR="00F82DD3" w:rsidRPr="00C1479D" w14:paraId="44FB92DE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4BC52" w14:textId="77777777" w:rsidR="00F82DD3" w:rsidRPr="00EE4929" w:rsidRDefault="00F82DD3" w:rsidP="00F82D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967AF" w14:textId="1D40C589" w:rsidR="00F82DD3" w:rsidRPr="00EE4929" w:rsidRDefault="00F82DD3" w:rsidP="00F82D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F82DD3" w:rsidRPr="00C1479D" w14:paraId="57990B07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E36E1" w14:textId="77777777" w:rsidR="00F82DD3" w:rsidRPr="00EE4929" w:rsidRDefault="00F82DD3" w:rsidP="00F82D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BFC41" w14:textId="2B782491" w:rsidR="00F82DD3" w:rsidRPr="00EE4929" w:rsidRDefault="00F82DD3" w:rsidP="00F82D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F82DD3" w:rsidRPr="00C1479D" w14:paraId="7991A6E4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548EBFA" w14:textId="77777777" w:rsidR="00F82DD3" w:rsidRPr="00EE4929" w:rsidRDefault="00F82DD3" w:rsidP="005F5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82DD3" w:rsidRPr="00C1479D" w14:paraId="39AEEA0C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C6732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CFD86F" w14:textId="77777777" w:rsidR="00F82DD3" w:rsidRPr="00C562D6" w:rsidRDefault="00F82DD3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F82DD3" w:rsidRPr="00C1479D" w14:paraId="1EB8850D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5B264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A96C9D" w14:textId="5F57D627" w:rsidR="00F82DD3" w:rsidRPr="00C562D6" w:rsidRDefault="00934539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F82DD3" w:rsidRPr="00C1479D" w14:paraId="5E2BAB7E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4F82D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418F85" w14:textId="668BF97B" w:rsidR="00F82DD3" w:rsidRPr="00C562D6" w:rsidRDefault="002C7C4D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82DD3" w:rsidRPr="00C1479D" w14:paraId="47E9A901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EFA3B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B29421" w14:textId="36FFFF5F" w:rsidR="00F82DD3" w:rsidRPr="00C562D6" w:rsidRDefault="002C7C4D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F82DD3" w:rsidRPr="00C1479D" w14:paraId="744658C2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5E4F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FFD975" w14:textId="5C6E2EC4" w:rsidR="00F82DD3" w:rsidRPr="00C562D6" w:rsidRDefault="002C7C4D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F82DD3" w:rsidRPr="00C1479D" w14:paraId="618E1483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80309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95427" w14:textId="44AD7DE4" w:rsidR="00F82DD3" w:rsidRPr="00C562D6" w:rsidRDefault="002C7C4D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F82DD3" w:rsidRPr="00C1479D" w14:paraId="318BCF01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5D636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E78952" w14:textId="52F51603" w:rsidR="00F82DD3" w:rsidRPr="00C562D6" w:rsidRDefault="002C7C4D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167</w:t>
            </w:r>
          </w:p>
        </w:tc>
      </w:tr>
      <w:tr w:rsidR="00F82DD3" w:rsidRPr="00C1479D" w14:paraId="7C66696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12663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7A99AD" w14:textId="77777777" w:rsidR="00F82DD3" w:rsidRPr="00820A72" w:rsidRDefault="00F82DD3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82DD3" w:rsidRPr="00C1479D" w14:paraId="696EBB16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648F0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892C21" w14:textId="67D688AA" w:rsidR="00F82DD3" w:rsidRPr="00820A72" w:rsidRDefault="002C7C4D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82DD3" w:rsidRPr="00C1479D" w14:paraId="64838045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C37AC" w14:textId="77777777" w:rsidR="00F82DD3" w:rsidRPr="00EE4929" w:rsidRDefault="00F82DD3" w:rsidP="005F5B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C0A4EA" w14:textId="77777777" w:rsidR="00F82DD3" w:rsidRPr="00820A72" w:rsidRDefault="00F82DD3" w:rsidP="005F5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F82DD3" w:rsidRPr="00C1479D" w14:paraId="3B923ED8" w14:textId="77777777" w:rsidTr="005F5B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3DCBA0C" w14:textId="77777777" w:rsidR="00F82DD3" w:rsidRPr="00C1479D" w:rsidRDefault="00F82DD3" w:rsidP="005F5BA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5DA362C" w14:textId="77777777" w:rsidR="00F82DD3" w:rsidRPr="00C1479D" w:rsidRDefault="00F82DD3" w:rsidP="005F5BA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F5D31B0" w14:textId="77777777" w:rsidR="00F82DD3" w:rsidRPr="00C1479D" w:rsidRDefault="00F82DD3" w:rsidP="005F5BA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54828DF" w14:textId="77777777" w:rsidR="00F82DD3" w:rsidRPr="00192841" w:rsidRDefault="00F82DD3" w:rsidP="005F5BA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E47AAF9" w14:textId="77777777" w:rsidR="00F82DD3" w:rsidRPr="00192841" w:rsidRDefault="00F82DD3" w:rsidP="00F82DD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E76CE07" w14:textId="77777777" w:rsidR="00F82DD3" w:rsidRPr="00192841" w:rsidRDefault="00F82DD3" w:rsidP="00F82DD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ECAA587" w14:textId="77777777" w:rsidR="00F82DD3" w:rsidRPr="008F5D08" w:rsidRDefault="00F82DD3" w:rsidP="00F82DD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6F3D14B7" w14:textId="77777777" w:rsidR="00F82DD3" w:rsidRPr="008F5D08" w:rsidRDefault="00F82DD3" w:rsidP="00F82DD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2 polițiști locali – mictofiltru</w:t>
            </w:r>
          </w:p>
          <w:p w14:paraId="1550A73F" w14:textId="77777777" w:rsidR="00F82DD3" w:rsidRPr="008F5D08" w:rsidRDefault="00F82DD3" w:rsidP="00F82DD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522CCB9E" w14:textId="77777777" w:rsidR="00F82DD3" w:rsidRPr="008F5D08" w:rsidRDefault="00F82DD3" w:rsidP="00F82DD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1B8C3AED" w14:textId="77777777" w:rsidR="00F82DD3" w:rsidRDefault="00F82DD3" w:rsidP="00F82DD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6DBD575C" w14:textId="77777777" w:rsidR="00F82DD3" w:rsidRPr="00885614" w:rsidRDefault="00F82DD3" w:rsidP="00F82DD3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3CD4648" w14:textId="77777777" w:rsidR="00F82DD3" w:rsidRPr="00096626" w:rsidRDefault="00F82DD3" w:rsidP="00F82DD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50DF453" w14:textId="77777777" w:rsidR="00F82DD3" w:rsidRPr="003328CB" w:rsidRDefault="00F82DD3" w:rsidP="00F82DD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6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4362E886" w14:textId="77777777" w:rsidR="00F82DD3" w:rsidRPr="00E10D1E" w:rsidRDefault="00F82DD3" w:rsidP="00F82DD3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2030 lei pentru încălcarea prevederilor RA OUG nr.195/2002</w:t>
            </w:r>
          </w:p>
          <w:p w14:paraId="447F2463" w14:textId="77777777" w:rsidR="00F82DD3" w:rsidRPr="00A84F25" w:rsidRDefault="00F82DD3" w:rsidP="00F82DD3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CA3BD49" w14:textId="77777777" w:rsidR="00F82DD3" w:rsidRPr="00192841" w:rsidRDefault="00F82DD3" w:rsidP="00F82DD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0A172C3" w14:textId="77777777" w:rsidR="00F82DD3" w:rsidRPr="00192841" w:rsidRDefault="00F82DD3" w:rsidP="00F82D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CBC6321" w14:textId="77777777" w:rsidR="00F82DD3" w:rsidRPr="00192841" w:rsidRDefault="00F82DD3" w:rsidP="00F82D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233BCFD" w14:textId="77777777" w:rsidR="00F82DD3" w:rsidRPr="00192841" w:rsidRDefault="00F82DD3" w:rsidP="00F82D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5E5DAC7" w14:textId="77777777" w:rsidR="00F82DD3" w:rsidRPr="00192841" w:rsidRDefault="00F82DD3" w:rsidP="00F82D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2E06C5DC" w14:textId="77777777" w:rsidR="00F82DD3" w:rsidRPr="00192841" w:rsidRDefault="00F82DD3" w:rsidP="00F82D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4E150ED" w14:textId="77777777" w:rsidR="00F82DD3" w:rsidRPr="00192841" w:rsidRDefault="00F82DD3" w:rsidP="00F82D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2EA834A" w14:textId="77777777" w:rsidR="00F82DD3" w:rsidRPr="00192841" w:rsidRDefault="00F82DD3" w:rsidP="00F82DD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BB9D00" w14:textId="77777777" w:rsidR="00F82DD3" w:rsidRPr="00192841" w:rsidRDefault="00F82DD3" w:rsidP="00F82DD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D82F127" w14:textId="77777777" w:rsidR="00F82DD3" w:rsidRPr="00020DB3" w:rsidRDefault="00F82DD3" w:rsidP="00F82D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36A2B13" w14:textId="77777777" w:rsidR="00F82DD3" w:rsidRPr="002B3CF9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4B0363CC" w14:textId="77777777" w:rsidR="00F82DD3" w:rsidRPr="002B3CF9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5C187887" w14:textId="77777777" w:rsidR="00F82DD3" w:rsidRPr="002B3CF9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patrulă pedestră </w:t>
            </w:r>
          </w:p>
          <w:p w14:paraId="31D4B0B4" w14:textId="77777777" w:rsidR="00F82DD3" w:rsidRPr="004130D4" w:rsidRDefault="00F82DD3" w:rsidP="00F82D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78BC52D" w14:textId="77777777" w:rsidR="00F82DD3" w:rsidRPr="004230C9" w:rsidRDefault="00F82DD3" w:rsidP="00F82D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8183CBE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34DF265B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6FCF4906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7E314E75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49BD245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8DE6CF8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78074001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492F655E" w14:textId="77777777" w:rsidR="00F82DD3" w:rsidRPr="004230C9" w:rsidRDefault="00F82DD3" w:rsidP="00F82D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3A509C7E" w14:textId="77777777" w:rsidR="00F82DD3" w:rsidRPr="004230C9" w:rsidRDefault="00F82DD3" w:rsidP="00F82D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1906357" w14:textId="77777777" w:rsidR="00F82DD3" w:rsidRPr="004230C9" w:rsidRDefault="00F82DD3" w:rsidP="00F82D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B3FEB14" w14:textId="77777777" w:rsidR="00F82DD3" w:rsidRPr="00192841" w:rsidRDefault="00F82DD3" w:rsidP="00F82DD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2A3C60" w14:textId="77777777" w:rsidR="00F82DD3" w:rsidRPr="007B0A10" w:rsidRDefault="00F82DD3" w:rsidP="00F82D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55B0E1B" w14:textId="77777777" w:rsidR="00F82DD3" w:rsidRPr="00192841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108</w:t>
            </w:r>
          </w:p>
          <w:p w14:paraId="41391CD7" w14:textId="77777777" w:rsidR="00F82DD3" w:rsidRPr="00940DE5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  <w:p w14:paraId="471447D6" w14:textId="77777777" w:rsidR="00F82DD3" w:rsidRPr="003054C9" w:rsidRDefault="00F82DD3" w:rsidP="00F82DD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(1 sancțiune contravențională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1000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2 sancțiuni contravenționale în valoare de 400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nr.120/2010)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014AD83" w14:textId="77777777" w:rsidR="00F82DD3" w:rsidRPr="00940DE5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4517373" w14:textId="77777777" w:rsidR="00F82DD3" w:rsidRPr="0090784E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C6DC2B" w14:textId="77777777" w:rsidR="00F82DD3" w:rsidRPr="00E62482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39</w:t>
            </w:r>
          </w:p>
          <w:p w14:paraId="1EF92BD9" w14:textId="77777777" w:rsidR="00F82DD3" w:rsidRPr="0090784E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5813EF95" w14:textId="77777777" w:rsidR="00F82DD3" w:rsidRPr="0090784E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39</w:t>
            </w:r>
          </w:p>
          <w:p w14:paraId="0FDB1979" w14:textId="77777777" w:rsidR="00F82DD3" w:rsidRPr="0090784E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36CF179" w14:textId="77777777" w:rsidR="00F82DD3" w:rsidRPr="0090784E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578A9D6" w14:textId="77777777" w:rsidR="00F82DD3" w:rsidRPr="00020DB3" w:rsidRDefault="00F82DD3" w:rsidP="00F82D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11872BF" w14:textId="77777777" w:rsidR="00F82DD3" w:rsidRDefault="00F82DD3" w:rsidP="00F82D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6FAD5" w14:textId="77777777" w:rsidR="00F82DD3" w:rsidRDefault="00F82DD3" w:rsidP="00F82DD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B017100" w14:textId="77777777" w:rsidR="00F82DD3" w:rsidRPr="002B547F" w:rsidRDefault="00F82DD3" w:rsidP="00F82D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12FA" w14:textId="77777777" w:rsidR="00F82DD3" w:rsidRDefault="00F82DD3" w:rsidP="00F82D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139C2AE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10- Sch.II- verificare persoane izolate la domiciliu</w:t>
            </w:r>
          </w:p>
          <w:p w14:paraId="2FEE8074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sch.I- 11:45 – 13.50 – verificare persoane izolate la domiciliu- 21 persoane.</w:t>
            </w:r>
          </w:p>
          <w:p w14:paraId="6BC2AF04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sch.II- verificare persoane izolate la domiciliu- 18 persoane</w:t>
            </w:r>
          </w:p>
          <w:p w14:paraId="26C1143B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STB- 12:00-12:30- prevenire, combatere și sancționare încâlcare prevederi Lg.55/2020;</w:t>
            </w:r>
          </w:p>
          <w:p w14:paraId="5831E4F0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verificare BEC;</w:t>
            </w:r>
          </w:p>
          <w:p w14:paraId="0D28AC4C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verificare arestat la domiciliu;</w:t>
            </w:r>
          </w:p>
          <w:p w14:paraId="6C66A2AB" w14:textId="77777777" w:rsidR="00F82DD3" w:rsidRPr="002B3CF9" w:rsidRDefault="00F82DD3" w:rsidP="00F82D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13 – acțiune STB- linia 102- au fost verificate 11 mijloace de transport în comun (autobuze).</w:t>
            </w:r>
          </w:p>
          <w:p w14:paraId="64E4E0D5" w14:textId="77777777" w:rsidR="00F82DD3" w:rsidRPr="00F561F8" w:rsidRDefault="00F82DD3" w:rsidP="005F5BAC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82DD3" w14:paraId="01F155BF" w14:textId="77777777" w:rsidTr="005F5BAC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7481BAC9" w14:textId="77777777" w:rsidR="00F82DD3" w:rsidRDefault="00F82DD3" w:rsidP="005F5B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F2D34F4" w14:textId="77777777" w:rsidR="00F82DD3" w:rsidRPr="00E352B9" w:rsidRDefault="00F82DD3" w:rsidP="00F82DD3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352B9">
              <w:rPr>
                <w:rFonts w:ascii="Times New Roman" w:hAnsi="Times New Roman"/>
                <w:sz w:val="20"/>
                <w:szCs w:val="20"/>
              </w:rPr>
              <w:t xml:space="preserve">Polițiști locali din cadrul </w:t>
            </w:r>
            <w:r w:rsidRPr="00E352B9">
              <w:rPr>
                <w:rFonts w:ascii="Times New Roman" w:hAnsi="Times New Roman"/>
                <w:b/>
                <w:sz w:val="20"/>
                <w:szCs w:val="20"/>
              </w:rPr>
              <w:t>Serviciului Circulație pe Drumurile Publice</w:t>
            </w:r>
            <w:r w:rsidRPr="00E352B9">
              <w:rPr>
                <w:rFonts w:ascii="Times New Roman" w:hAnsi="Times New Roman"/>
                <w:sz w:val="20"/>
                <w:szCs w:val="20"/>
              </w:rPr>
              <w:t>, au asigurat fluența traficului în zona intersecției bd.Rm.Sărat-str.Liviu Rebreanu, unde, în jurul orei 17.00, a avut loc un accident rutier în care au fost implicate doua auto, accident soldat cu victimă. Persoana vătămată, în vârstă de 27 de ani, a fost transportată la spitalul Sf.Ioan pentru îngrijiri medicale. În timpul cercetărilor la fața locului efectuate de lucrători din cadrul Brigazii Rutiere, în zonă a avut loc o altă tamponare în care au fost implicate un auto și un tramvai. Tamponarea nu s-a soldat cu victime, părțile implicate fiind îndrumate către Biroul Accidente Usoare din cadrul Brigazii Rutiere.</w:t>
            </w:r>
          </w:p>
          <w:p w14:paraId="6D80D17B" w14:textId="77777777" w:rsidR="00F82DD3" w:rsidRPr="00F93A23" w:rsidRDefault="00F82DD3" w:rsidP="005F5B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2732FD2" w14:textId="77777777" w:rsidR="00F82DD3" w:rsidRDefault="00F82DD3" w:rsidP="00F82DD3"/>
    <w:p w14:paraId="37FE3DF2" w14:textId="77777777" w:rsidR="00F82DD3" w:rsidRDefault="00F82DD3" w:rsidP="00F82DD3"/>
    <w:p w14:paraId="2F9B2F4D" w14:textId="77777777" w:rsidR="00F82DD3" w:rsidRDefault="00F82DD3" w:rsidP="00F82DD3"/>
    <w:p w14:paraId="6F727443" w14:textId="77777777" w:rsidR="00F82DD3" w:rsidRDefault="00F82DD3" w:rsidP="00F82DD3"/>
    <w:p w14:paraId="14E31FA2" w14:textId="77777777" w:rsidR="00F82DD3" w:rsidRDefault="00F82DD3" w:rsidP="00F82DD3"/>
    <w:p w14:paraId="684155E7" w14:textId="77777777" w:rsidR="00F82DD3" w:rsidRDefault="00F82DD3" w:rsidP="00F82DD3"/>
    <w:p w14:paraId="3546EC61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0432"/>
    <w:multiLevelType w:val="hybridMultilevel"/>
    <w:tmpl w:val="690C863E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D3"/>
    <w:rsid w:val="002C7C4D"/>
    <w:rsid w:val="00934539"/>
    <w:rsid w:val="00DF54AC"/>
    <w:rsid w:val="00F82DD3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C62C"/>
  <w15:chartTrackingRefBased/>
  <w15:docId w15:val="{00C102F5-3E78-4B38-AC50-010DDFB9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D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DD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2DD3"/>
    <w:pPr>
      <w:ind w:left="720"/>
      <w:contextualSpacing/>
    </w:pPr>
  </w:style>
  <w:style w:type="paragraph" w:styleId="NoSpacing">
    <w:name w:val="No Spacing"/>
    <w:rsid w:val="00F82D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2020-08-27T08:25:00Z</dcterms:created>
  <dcterms:modified xsi:type="dcterms:W3CDTF">2020-08-27T09:59:00Z</dcterms:modified>
</cp:coreProperties>
</file>